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cs="Times New Roman"/>
          <w:spacing w:val="0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jc w:val="center"/>
        <w:textAlignment w:val="baseline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兰考县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城镇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土地基准地价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1.本基准地价适用于兰考县范围内的国有土地。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2.基准地价内涵为正常市场条件下，各用途各土地级别区域内，设定土地开发程度、容积率等条件下的国有出让土地使用权平均价格。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3.用途：商服用地、商务金融用地、住宅用地、工矿仓储用地、公共管理与公共服务用地、交通运输用地。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4.兰考县中心城区标准容积率：商服用地1.5、商务金融用地1.8、住宅用地1.8、工矿仓储用地1.0、公共管理与公共服务用地1.5、交通运输用地1.0。兰考县各乡镇标准</w:t>
      </w:r>
      <w:r>
        <w:rPr>
          <w:rFonts w:hint="eastAsia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容</w:t>
      </w: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积率：商服用地1.1、住宅用地1.2、工矿仓储用地1.0、公共管理与公共服务用地1.3。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5.年期：均为法定最高出让年限，即商服用地40年、商务金融用地40年、住宅用地70年、工矿仓储用地50年、公共管理与公共服务用地50年、交通运输用地50年。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6.兰考县中心城区开发程度：</w:t>
      </w:r>
      <w:r>
        <w:rPr>
          <w:rFonts w:hint="eastAsia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五通一平</w:t>
      </w:r>
      <w:r>
        <w:rPr>
          <w:rFonts w:hint="eastAsia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（通路、通电、通讯、通上水、通下水及场地平整）。兰考县各乡镇开发程度：三通一平（通路、通电、通上水和场地平整）。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auto"/>
          <w:spacing w:val="0"/>
          <w:kern w:val="0"/>
          <w:sz w:val="32"/>
          <w:szCs w:val="32"/>
          <w:lang w:val="en-US" w:eastAsia="zh-CN" w:bidi="ar-SA"/>
        </w:rPr>
        <w:t>7.基准日：2023年1月1日。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746FD"/>
    <w:rsid w:val="7237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48"/>
      <w:szCs w:val="4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2025-10-10T02:22:00Z</dcterms:created>
  <dc:creator>Administrator</dc:creator>
  <cp:lastModifiedBy>Administrator</cp:lastModifiedBy>
  <dcterms:modified xsi:type="dcterms:W3CDTF">2025-10-10T02:23:23Z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